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b w:val="1"/>
          <w:sz w:val="36"/>
          <w:szCs w:val="36"/>
        </w:rPr>
      </w:pPr>
      <w:r w:rsidDel="00000000" w:rsidR="00000000" w:rsidRPr="00000000">
        <w:rPr>
          <w:rFonts w:ascii="Arial Narrow" w:cs="Arial Narrow" w:eastAsia="Arial Narrow" w:hAnsi="Arial Narrow"/>
          <w:b w:val="1"/>
          <w:sz w:val="36"/>
          <w:szCs w:val="36"/>
          <w:rtl w:val="0"/>
        </w:rPr>
        <w:t xml:space="preserve">Relaciones entre la UE y Latinoamérica podrían acelerar la recuperación económica</w:t>
      </w:r>
    </w:p>
    <w:p w:rsidR="00000000" w:rsidDel="00000000" w:rsidP="00000000" w:rsidRDefault="00000000" w:rsidRPr="00000000" w14:paraId="00000002">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3">
      <w:pPr>
        <w:jc w:val="both"/>
        <w:rPr>
          <w:rFonts w:ascii="Arial Narrow" w:cs="Arial Narrow" w:eastAsia="Arial Narrow" w:hAnsi="Arial Narrow"/>
          <w:i w:val="1"/>
          <w:color w:val="333333"/>
          <w:highlight w:val="white"/>
        </w:rPr>
      </w:pPr>
      <w:r w:rsidDel="00000000" w:rsidR="00000000" w:rsidRPr="00000000">
        <w:rPr>
          <w:rFonts w:ascii="Arial Narrow" w:cs="Arial Narrow" w:eastAsia="Arial Narrow" w:hAnsi="Arial Narrow"/>
          <w:i w:val="1"/>
          <w:color w:val="333333"/>
          <w:highlight w:val="white"/>
          <w:rtl w:val="0"/>
        </w:rPr>
        <w:t xml:space="preserve">La Conferencia CAF Europa juntó a expertos de alto nivel para debatir sobre la integración biregional y los lazos de cooperación entre América Latina y la Unión Europea (UE), y planteó una salida de la crisis económica a partir de una alianza entre ambas regiones. </w:t>
      </w:r>
    </w:p>
    <w:p w:rsidR="00000000" w:rsidDel="00000000" w:rsidP="00000000" w:rsidRDefault="00000000" w:rsidRPr="00000000" w14:paraId="00000004">
      <w:pPr>
        <w:jc w:val="both"/>
        <w:rPr>
          <w:rFonts w:ascii="Arial Narrow" w:cs="Arial Narrow" w:eastAsia="Arial Narrow" w:hAnsi="Arial Narrow"/>
          <w:color w:val="333333"/>
          <w:highlight w:val="white"/>
        </w:rPr>
      </w:pPr>
      <w:r w:rsidDel="00000000" w:rsidR="00000000" w:rsidRPr="00000000">
        <w:rPr>
          <w:rtl w:val="0"/>
        </w:rPr>
      </w:r>
    </w:p>
    <w:p w:rsidR="00000000" w:rsidDel="00000000" w:rsidP="00000000" w:rsidRDefault="00000000" w:rsidRPr="00000000" w14:paraId="00000005">
      <w:pPr>
        <w:jc w:val="both"/>
        <w:rPr>
          <w:rFonts w:ascii="Arial Narrow" w:cs="Arial Narrow" w:eastAsia="Arial Narrow" w:hAnsi="Arial Narrow"/>
          <w:color w:val="000000"/>
          <w:sz w:val="22"/>
          <w:szCs w:val="22"/>
          <w:highlight w:val="white"/>
        </w:rPr>
      </w:pPr>
      <w:r w:rsidDel="00000000" w:rsidR="00000000" w:rsidRPr="00000000">
        <w:rPr>
          <w:rFonts w:ascii="Arial Narrow" w:cs="Arial Narrow" w:eastAsia="Arial Narrow" w:hAnsi="Arial Narrow"/>
          <w:i w:val="1"/>
          <w:color w:val="595959"/>
          <w:sz w:val="22"/>
          <w:szCs w:val="22"/>
          <w:highlight w:val="white"/>
          <w:rtl w:val="0"/>
        </w:rPr>
        <w:t xml:space="preserve">(Ciudad de México, 15 de octubre de 2020).</w:t>
      </w:r>
      <w:r w:rsidDel="00000000" w:rsidR="00000000" w:rsidRPr="00000000">
        <w:rPr>
          <w:rFonts w:ascii="Arial Narrow" w:cs="Arial Narrow" w:eastAsia="Arial Narrow" w:hAnsi="Arial Narrow"/>
          <w:color w:val="000000"/>
          <w:highlight w:val="white"/>
          <w:rtl w:val="0"/>
        </w:rPr>
        <w:t xml:space="preserve"> </w:t>
      </w:r>
      <w:r w:rsidDel="00000000" w:rsidR="00000000" w:rsidRPr="00000000">
        <w:rPr>
          <w:rFonts w:ascii="Arial Narrow" w:cs="Arial Narrow" w:eastAsia="Arial Narrow" w:hAnsi="Arial Narrow"/>
          <w:color w:val="000000"/>
          <w:sz w:val="22"/>
          <w:szCs w:val="22"/>
          <w:highlight w:val="white"/>
          <w:rtl w:val="0"/>
        </w:rPr>
        <w:t xml:space="preserve">Fomentar las relaciones entre Europa y América Latina, especialmente en temas de infraestructura de integración y digital, podría contribuir a acelerar la recuperación económica en las dos regiones. Por eso, es de especial importancia reforzar las relaciones multilaterales y fomentar nuevas alianzas enfocadas en canalizar fondos para las infraestructuras, la recuperación del tejido empresarial o el crecimiento verde.</w:t>
      </w:r>
    </w:p>
    <w:p w:rsidR="00000000" w:rsidDel="00000000" w:rsidP="00000000" w:rsidRDefault="00000000" w:rsidRPr="00000000" w14:paraId="00000006">
      <w:pPr>
        <w:jc w:val="both"/>
        <w:rPr>
          <w:rFonts w:ascii="Arial Narrow" w:cs="Arial Narrow" w:eastAsia="Arial Narrow" w:hAnsi="Arial Narrow"/>
          <w:color w:val="000000"/>
          <w:sz w:val="22"/>
          <w:szCs w:val="22"/>
          <w:highlight w:val="white"/>
        </w:rPr>
      </w:pPr>
      <w:r w:rsidDel="00000000" w:rsidR="00000000" w:rsidRPr="00000000">
        <w:rPr>
          <w:rtl w:val="0"/>
        </w:rPr>
      </w:r>
    </w:p>
    <w:p w:rsidR="00000000" w:rsidDel="00000000" w:rsidP="00000000" w:rsidRDefault="00000000" w:rsidRPr="00000000" w14:paraId="00000007">
      <w:pPr>
        <w:jc w:val="both"/>
        <w:rPr>
          <w:rFonts w:ascii="Arial Narrow" w:cs="Arial Narrow" w:eastAsia="Arial Narrow" w:hAnsi="Arial Narrow"/>
          <w:color w:val="000000"/>
          <w:sz w:val="22"/>
          <w:szCs w:val="22"/>
          <w:highlight w:val="white"/>
        </w:rPr>
      </w:pPr>
      <w:r w:rsidDel="00000000" w:rsidR="00000000" w:rsidRPr="00000000">
        <w:rPr>
          <w:rFonts w:ascii="Arial Narrow" w:cs="Arial Narrow" w:eastAsia="Arial Narrow" w:hAnsi="Arial Narrow"/>
          <w:color w:val="000000"/>
          <w:sz w:val="22"/>
          <w:szCs w:val="22"/>
          <w:highlight w:val="white"/>
          <w:rtl w:val="0"/>
        </w:rPr>
        <w:t xml:space="preserve">Estas son algunas de las conclusiones a las que llegaron un grupo de expertos internacionales reunidos en la </w:t>
      </w:r>
      <w:hyperlink r:id="rId6">
        <w:r w:rsidDel="00000000" w:rsidR="00000000" w:rsidRPr="00000000">
          <w:rPr>
            <w:rFonts w:ascii="Arial Narrow" w:cs="Arial Narrow" w:eastAsia="Arial Narrow" w:hAnsi="Arial Narrow"/>
            <w:color w:val="1155cc"/>
            <w:sz w:val="22"/>
            <w:szCs w:val="22"/>
            <w:highlight w:val="white"/>
            <w:u w:val="single"/>
            <w:rtl w:val="0"/>
          </w:rPr>
          <w:t xml:space="preserve">Conferencia CAF “Relaciones Europa – América Latina”</w:t>
        </w:r>
      </w:hyperlink>
      <w:r w:rsidDel="00000000" w:rsidR="00000000" w:rsidRPr="00000000">
        <w:rPr>
          <w:rFonts w:ascii="Arial Narrow" w:cs="Arial Narrow" w:eastAsia="Arial Narrow" w:hAnsi="Arial Narrow"/>
          <w:color w:val="1155cc"/>
          <w:sz w:val="22"/>
          <w:szCs w:val="22"/>
          <w:highlight w:val="white"/>
          <w:rtl w:val="0"/>
        </w:rPr>
        <w:t xml:space="preserve">,</w:t>
      </w:r>
      <w:r w:rsidDel="00000000" w:rsidR="00000000" w:rsidRPr="00000000">
        <w:rPr>
          <w:rFonts w:ascii="Arial Narrow" w:cs="Arial Narrow" w:eastAsia="Arial Narrow" w:hAnsi="Arial Narrow"/>
          <w:color w:val="000000"/>
          <w:sz w:val="22"/>
          <w:szCs w:val="22"/>
          <w:highlight w:val="white"/>
          <w:rtl w:val="0"/>
        </w:rPr>
        <w:t xml:space="preserve"> que en la edición de este año analizó las respuestas más acertadas a la crisis por parte de los países de la región, las nuevas dinámicas del multilateralismo global y las nuevas oportunidades de cooperación internacional.</w:t>
      </w:r>
    </w:p>
    <w:p w:rsidR="00000000" w:rsidDel="00000000" w:rsidP="00000000" w:rsidRDefault="00000000" w:rsidRPr="00000000" w14:paraId="00000008">
      <w:pPr>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09">
      <w:pPr>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“Necesitamos canalizar nuevos recursos y llevar adelante proyectos en temas digitales y de integración regional que pueden significar la diferencia entre perder 10 años por la pandemia y retomar el impulso del crecimiento y del desarrollo de la región. La cooperación y las alianzas estratégicas entre los países de la Unión Europea y América Latina serán importantes para superar esta crisis”, dijo Luis Carranza, presidente ejecutivo de CAF -banco de desarrollo de América Latina. </w:t>
      </w:r>
    </w:p>
    <w:p w:rsidR="00000000" w:rsidDel="00000000" w:rsidP="00000000" w:rsidRDefault="00000000" w:rsidRPr="00000000" w14:paraId="0000000A">
      <w:pPr>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0B">
      <w:pPr>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Por su parte, Ana de la Cueva, Secretaria de Estado de Economía y Apoyo a la Empresa de España, aseguró estamos en una crisis global que requiere respuestas globales. “Es la hora de las instituciones multilaterales. España puede jugar un papel de nexo entre las instituciones multilaterales y el conjunto de las economías latinoamericanas, siempre que estas consensuen posiciones comunes”, dijo de la Cueva.</w:t>
      </w:r>
    </w:p>
    <w:p w:rsidR="00000000" w:rsidDel="00000000" w:rsidP="00000000" w:rsidRDefault="00000000" w:rsidRPr="00000000" w14:paraId="0000000C">
      <w:pPr>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0D">
      <w:pPr>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Para profundizar la relación entre América Latina y Europa también será necesario el apoyo de la UE. Jutta Urpilainen, Comisaria Europea de Asociaciones Internacionales, aseguró que desde la UE “promovemos inversiones y fomentamos agendas comunes, y con una cooperación triangular conseguimos abordar las prioridades rápida y eficazmente. La UE ya apoya varios proyectos con CAF, desde infraestructuras viales hasta ciudades sostenibles. Espero poder llevar esta relación a un nuevo nivel”.</w:t>
      </w:r>
    </w:p>
    <w:p w:rsidR="00000000" w:rsidDel="00000000" w:rsidP="00000000" w:rsidRDefault="00000000" w:rsidRPr="00000000" w14:paraId="0000000E">
      <w:pPr>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0F">
      <w:pPr>
        <w:jc w:val="both"/>
        <w:rPr>
          <w:rFonts w:ascii="Arial Narrow" w:cs="Arial Narrow" w:eastAsia="Arial Narrow" w:hAnsi="Arial Narrow"/>
          <w:color w:val="000000"/>
          <w:sz w:val="22"/>
          <w:szCs w:val="22"/>
          <w:highlight w:val="white"/>
        </w:rPr>
      </w:pPr>
      <w:r w:rsidDel="00000000" w:rsidR="00000000" w:rsidRPr="00000000">
        <w:rPr>
          <w:rFonts w:ascii="Arial Narrow" w:cs="Arial Narrow" w:eastAsia="Arial Narrow" w:hAnsi="Arial Narrow"/>
          <w:color w:val="000000"/>
          <w:sz w:val="22"/>
          <w:szCs w:val="22"/>
          <w:rtl w:val="0"/>
        </w:rPr>
        <w:t xml:space="preserve">La conferencia también contó con la presencia de Mauricio Pozo, Ministro de Economía de Ecuador, y </w:t>
      </w:r>
      <w:r w:rsidDel="00000000" w:rsidR="00000000" w:rsidRPr="00000000">
        <w:rPr>
          <w:rFonts w:ascii="Arial Narrow" w:cs="Arial Narrow" w:eastAsia="Arial Narrow" w:hAnsi="Arial Narrow"/>
          <w:color w:val="000000"/>
          <w:sz w:val="22"/>
          <w:szCs w:val="22"/>
          <w:highlight w:val="white"/>
          <w:rtl w:val="0"/>
        </w:rPr>
        <w:t xml:space="preserve">Azucena Arbeleche, Ministra de Economía y Finanzas de Uruguay, que </w:t>
      </w:r>
      <w:r w:rsidDel="00000000" w:rsidR="00000000" w:rsidRPr="00000000">
        <w:rPr>
          <w:rFonts w:ascii="Arial Narrow" w:cs="Arial Narrow" w:eastAsia="Arial Narrow" w:hAnsi="Arial Narrow"/>
          <w:sz w:val="22"/>
          <w:szCs w:val="22"/>
          <w:highlight w:val="white"/>
          <w:rtl w:val="0"/>
        </w:rPr>
        <w:t xml:space="preserve">comentan</w:t>
      </w:r>
      <w:r w:rsidDel="00000000" w:rsidR="00000000" w:rsidRPr="00000000">
        <w:rPr>
          <w:rFonts w:ascii="Arial Narrow" w:cs="Arial Narrow" w:eastAsia="Arial Narrow" w:hAnsi="Arial Narrow"/>
          <w:color w:val="000000"/>
          <w:sz w:val="22"/>
          <w:szCs w:val="22"/>
          <w:highlight w:val="white"/>
          <w:rtl w:val="0"/>
        </w:rPr>
        <w:t xml:space="preserve"> cómo están enfrentando sus países la crisis. En el caso de Ecuador, Pozo se refirió a cómo el financiamiento de los multilaterales está contribuyendo a enderezar la situación y aseguró que, gracias a las medidas adoptadas por el gobierno, están en una situación “donde ya se empiezan a ver síntomas de recuperación importantes”. Arbeleche explicó que la política de Uruguay de tener liquidez en caja o líneas contingentes contratadas con los organismos multilaterales de crédito “fue muy importante porque nos permitió acudir a los desembolsos con los organismos multilaterales”.</w:t>
      </w:r>
    </w:p>
    <w:p w:rsidR="00000000" w:rsidDel="00000000" w:rsidP="00000000" w:rsidRDefault="00000000" w:rsidRPr="00000000" w14:paraId="00000010">
      <w:pPr>
        <w:jc w:val="both"/>
        <w:rPr>
          <w:rFonts w:ascii="Arial Narrow" w:cs="Arial Narrow" w:eastAsia="Arial Narrow" w:hAnsi="Arial Narrow"/>
          <w:color w:val="000000"/>
          <w:sz w:val="22"/>
          <w:szCs w:val="22"/>
          <w:highlight w:val="white"/>
        </w:rPr>
      </w:pPr>
      <w:r w:rsidDel="00000000" w:rsidR="00000000" w:rsidRPr="00000000">
        <w:rPr>
          <w:rtl w:val="0"/>
        </w:rPr>
      </w:r>
    </w:p>
    <w:p w:rsidR="00000000" w:rsidDel="00000000" w:rsidP="00000000" w:rsidRDefault="00000000" w:rsidRPr="00000000" w14:paraId="00000011">
      <w:pPr>
        <w:spacing w:after="240" w:line="271"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En la clausura de la conferencia, Antonio Garamendi, presidente de la CEOE, dijo que es importante potenciar la innovación y la digitalización para superar la crisis actual. Para lograrlo, “desde España estamos trabajando muy intensamente en la formación dual dual, en la formación desde pequeños, en la formación </w:t>
      </w:r>
      <w:r w:rsidDel="00000000" w:rsidR="00000000" w:rsidRPr="00000000">
        <w:rPr>
          <w:rFonts w:ascii="Arial Narrow" w:cs="Arial Narrow" w:eastAsia="Arial Narrow" w:hAnsi="Arial Narrow"/>
          <w:sz w:val="22"/>
          <w:szCs w:val="22"/>
          <w:rtl w:val="0"/>
        </w:rPr>
        <w:t xml:space="preserve">continua</w:t>
      </w:r>
      <w:r w:rsidDel="00000000" w:rsidR="00000000" w:rsidRPr="00000000">
        <w:rPr>
          <w:rFonts w:ascii="Arial Narrow" w:cs="Arial Narrow" w:eastAsia="Arial Narrow" w:hAnsi="Arial Narrow"/>
          <w:color w:val="000000"/>
          <w:sz w:val="22"/>
          <w:szCs w:val="22"/>
          <w:rtl w:val="0"/>
        </w:rPr>
        <w:t xml:space="preserve"> y especialmente en materias digitales”, dijo Garamendi.</w:t>
      </w:r>
    </w:p>
    <w:p w:rsidR="00000000" w:rsidDel="00000000" w:rsidP="00000000" w:rsidRDefault="00000000" w:rsidRPr="00000000" w14:paraId="00000012">
      <w:pPr>
        <w:spacing w:after="240" w:line="271"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La conferencia también contó con la participación de Alicia González, corresponsal de Economía Internacional de El País, Rebeca Grynspan, secretaria general Iberoamericana, y Emma Navarro, vicepresidenta del banco Europeo de Inversiones (BEI), Antonio Silveria, vicepresidente de Infraestructura de CAF, Carmen Gisela Vergara, directora ejecutiva de ProPanamá, Luis Castilla, CEO de Infraestructuras de Acciona, Philippe Delleur, vicepresidente senior de Asuntos Públicos de Alstom, Narciso Casado, secretario permanente del Consejo de Empresarios iberoamericanos (CEIB).</w:t>
      </w:r>
    </w:p>
    <w:p w:rsidR="00000000" w:rsidDel="00000000" w:rsidP="00000000" w:rsidRDefault="00000000" w:rsidRPr="00000000" w14:paraId="00000013">
      <w:pPr>
        <w:rPr>
          <w:rFonts w:ascii="Arial Narrow" w:cs="Arial Narrow" w:eastAsia="Arial Narrow" w:hAnsi="Arial Narrow"/>
        </w:rPr>
      </w:pPr>
      <w:r w:rsidDel="00000000" w:rsidR="00000000" w:rsidRPr="00000000">
        <w:rPr>
          <w:rtl w:val="0"/>
        </w:rPr>
      </w:r>
    </w:p>
    <w:sectPr>
      <w:headerReference r:id="rId7" w:type="default"/>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1514475</wp:posOffset>
          </wp:positionH>
          <wp:positionV relativeFrom="paragraph">
            <wp:posOffset>-276224</wp:posOffset>
          </wp:positionV>
          <wp:extent cx="2138466" cy="632437"/>
          <wp:effectExtent b="0" l="0" r="0" t="0"/>
          <wp:wrapTopAndBottom distB="0" distT="0"/>
          <wp:docPr descr="Imagen que contiene Texto&#10;&#10;Descripción generada automáticamente" id="1" name="image1.png"/>
          <a:graphic>
            <a:graphicData uri="http://schemas.openxmlformats.org/drawingml/2006/picture">
              <pic:pic>
                <pic:nvPicPr>
                  <pic:cNvPr descr="Imagen que contiene Texto&#10;&#10;Descripción generada automáticamente" id="0" name="image1.png"/>
                  <pic:cNvPicPr preferRelativeResize="0"/>
                </pic:nvPicPr>
                <pic:blipFill>
                  <a:blip r:embed="rId1"/>
                  <a:srcRect b="0" l="0" r="0" t="0"/>
                  <a:stretch>
                    <a:fillRect/>
                  </a:stretch>
                </pic:blipFill>
                <pic:spPr>
                  <a:xfrm>
                    <a:off x="0" y="0"/>
                    <a:ext cx="2138466" cy="63243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f.com/es/actualidad/eventos/2020/10/conferencia-caf-europa/"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